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keepLines w:val="1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2"/>
          <w:szCs w:val="4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2"/>
          <w:szCs w:val="42"/>
          <w:u w:val="none"/>
          <w:vertAlign w:val="baseline"/>
          <w:rtl w:val="0"/>
        </w:rPr>
        <w:t xml:space="preserve">Отчет об установке решения</w:t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Здравствуйте! По вашему запросу была установлена платформа 1С-Битрикс:Управление сайтом и типовое решение.</w:t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Пожалуйста, перед началом администрирования с сайта обязательно пройдите бесплатный курс «Контент-менеджер»: </w:t>
      </w:r>
      <w:hyperlink r:id="rId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http://dev.1c-bitrix.ru/learning/course/index.php?COURSE_ID=34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99.0" w:type="dxa"/>
        <w:jc w:val="left"/>
        <w:tblInd w:w="-10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3079"/>
        <w:gridCol w:w="6520"/>
        <w:tblGridChange w:id="0">
          <w:tblGrid>
            <w:gridCol w:w="3079"/>
            <w:gridCol w:w="6520"/>
          </w:tblGrid>
        </w:tblGridChange>
      </w:tblGrid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Редакция 1С-Битрикс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Типовое решение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Интернет-магазин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Крутой шоп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Шины и диски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Корпоративный сайт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Корпоративный сайт современной компании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Корпорация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Аспро: Корпоративный сайт современной компании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Управление сайтом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Адрес сайта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http://company.ru/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Адрес панели управления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http://company.ru/bitrix/admin/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Логин администратора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Пароль администратора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Ключ шифрования </w:t>
              <w:br w:type="textWrapping"/>
              <w:t xml:space="preserve">резервной копии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Портал 1С-Битрикс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Адрес для входа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http://1c-bitrix.ru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Имя ответственного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Логин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Пароль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Адрес эл. почты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Хостинг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Адрес для входа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Логин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Пароль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599.0" w:type="dxa"/>
        <w:jc w:val="left"/>
        <w:tblInd w:w="-10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3079"/>
        <w:gridCol w:w="6520"/>
        <w:tblGridChange w:id="0">
          <w:tblGrid>
            <w:gridCol w:w="3079"/>
            <w:gridCol w:w="6520"/>
          </w:tblGrid>
        </w:tblGridChange>
      </w:tblGrid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Примечание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/>
            <w:tcMar>
              <w:left w:w="9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Шаблоны предупреждений о неподключенном PHP7 и SSL-сертификате: </w:t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Ваш хостинг не поддерживает PHP7. Для максимальной скорости загрузки и производительности рекомендуется перенос сайта на другую хостинг-площадку. </w:t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Внимание!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На сайте не подключен базовый SSL-сертификат из-за того, что ваш хостинг не поддерживает эту возможность. Ваши пользователи получат уведомление о несоответствии сайта последним стандартам безопасности. Рекомендуется перейти на другой хостинг и как минимум подключить бесплатный сертификат от Let's Encrypt.</w:t>
      </w:r>
    </w:p>
    <w:sectPr>
      <w:headerReference r:id="rId6" w:type="default"/>
      <w:footerReference r:id="rId7" w:type="default"/>
      <w:pgSz w:h="16838" w:w="11906"/>
      <w:pgMar w:bottom="1440" w:top="1133" w:left="856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1"/>
      <w:keepLines w:val="0"/>
      <w:widowControl w:val="1"/>
      <w:pBdr/>
      <w:spacing w:after="72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1"/>
      <w:keepLines w:val="0"/>
      <w:widowControl w:val="1"/>
      <w:pBdr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1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dev.1c-bitrix.ru/learning/course/index.php?COURSE_ID=34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